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D" w:rsidRPr="00C979BD" w:rsidRDefault="00C979BD" w:rsidP="00C979BD">
      <w:pPr>
        <w:suppressAutoHyphens/>
        <w:rPr>
          <w:rFonts w:ascii="Calibri" w:hAnsi="Calibri"/>
        </w:rPr>
      </w:pPr>
      <w:r w:rsidRPr="00C979BD">
        <w:rPr>
          <w:rFonts w:ascii="Calibri" w:hAnsi="Calibri"/>
          <w:b/>
          <w:sz w:val="24"/>
          <w:szCs w:val="24"/>
        </w:rPr>
        <w:t>Komentář k plánované struktuře finančních zdrojů SFŽP a vazba na připravenou novelizaci vodního zákona vč. poplatkové politiky v oblasti vypouštění odpadních vod.</w:t>
      </w:r>
    </w:p>
    <w:p w:rsidR="00C979BD" w:rsidRPr="00CA03B8" w:rsidRDefault="00C979BD" w:rsidP="00C979BD">
      <w:pPr>
        <w:pStyle w:val="Odstavecseseznamem"/>
        <w:spacing w:after="0" w:line="240" w:lineRule="auto"/>
        <w:ind w:left="284" w:hanging="284"/>
        <w:jc w:val="both"/>
      </w:pPr>
    </w:p>
    <w:p w:rsidR="00C979BD" w:rsidRPr="008C1B44" w:rsidRDefault="00C979BD" w:rsidP="00C979BD">
      <w:pPr>
        <w:keepNext/>
        <w:spacing w:after="0" w:line="240" w:lineRule="auto"/>
        <w:jc w:val="both"/>
        <w:rPr>
          <w:i/>
        </w:rPr>
      </w:pPr>
      <w:r>
        <w:rPr>
          <w:i/>
        </w:rPr>
        <w:t xml:space="preserve">ČR je ve špičce zpoplatnění za </w:t>
      </w:r>
      <w:r w:rsidRPr="008C1B44">
        <w:rPr>
          <w:i/>
        </w:rPr>
        <w:t xml:space="preserve">vypouštěné </w:t>
      </w:r>
      <w:r>
        <w:rPr>
          <w:i/>
        </w:rPr>
        <w:t>odpadní vody mezi novými členskými státy EU – je vůbec možné jít ještě dále</w:t>
      </w:r>
      <w:r w:rsidRPr="008C1B44">
        <w:rPr>
          <w:i/>
        </w:rPr>
        <w:t>?</w:t>
      </w:r>
    </w:p>
    <w:p w:rsidR="00C979BD" w:rsidRDefault="00DB3EA9" w:rsidP="00C979BD">
      <w:pPr>
        <w:keepNext/>
        <w:spacing w:after="0" w:line="240" w:lineRule="auto"/>
        <w:jc w:val="both"/>
      </w:pPr>
      <w:r>
        <w:t>V přípravě je změna</w:t>
      </w:r>
      <w:r w:rsidR="00C979BD">
        <w:t xml:space="preserve"> poplatkové politiky za vypouštěné odpadní vody (zákon č. 254/2001 Sb. a prováděcí předpisy - </w:t>
      </w:r>
      <w:r w:rsidR="00C979BD" w:rsidRPr="0091589F">
        <w:t>nařízení vlády č. 143/2012 Sb.</w:t>
      </w:r>
      <w:r w:rsidR="00C979BD">
        <w:t xml:space="preserve"> a vyhláška č. 123/2012 Sb.). Připomeňme, že právě nastavení vhodné meze zpoplatnění a sazby za vypouštěné množství znečištění bylo a je motivačním faktorem pro zajištění kvality čištění odpadních vod a není možné ho zařazovat mezi mandatorní příjmovou kapitolu rozpočtu. I proto je důležité srovnat současnou úroveň poplatků s okolními státy EU. Sdružení SOVAK ČR zpracovalo níže uvedené porovnání. Je tak zřejmé, že se již nyní v regionu nacházíme na samé špici ve zpoplatnění a stát tak </w:t>
      </w:r>
      <w:r>
        <w:t xml:space="preserve">výrazně </w:t>
      </w:r>
      <w:r w:rsidR="00C979BD">
        <w:t xml:space="preserve">zatěžuje podnikatelské subjekty i občany. Navíc do srovnání nejsou uvedeny státy jako Francie či Velká Británie, kde vůbec institut zpoplatnění vypouštění neexistuje. </w:t>
      </w:r>
    </w:p>
    <w:p w:rsidR="00C979BD" w:rsidRDefault="00C979BD" w:rsidP="00C979BD">
      <w:pPr>
        <w:pStyle w:val="Odstavecseseznamem"/>
        <w:spacing w:after="0" w:line="240" w:lineRule="auto"/>
        <w:ind w:left="284" w:hanging="284"/>
        <w:jc w:val="both"/>
      </w:pPr>
    </w:p>
    <w:p w:rsidR="00C979BD" w:rsidRPr="00ED12A6" w:rsidRDefault="00C979BD" w:rsidP="00C979BD">
      <w:pPr>
        <w:pStyle w:val="Odstavecseseznamem"/>
        <w:spacing w:after="0" w:line="240" w:lineRule="auto"/>
        <w:ind w:left="284"/>
        <w:jc w:val="both"/>
        <w:rPr>
          <w:b/>
          <w:sz w:val="20"/>
        </w:rPr>
      </w:pPr>
      <w:r w:rsidRPr="00ED12A6">
        <w:rPr>
          <w:b/>
          <w:sz w:val="20"/>
        </w:rPr>
        <w:t>Zpoplatnění objemu vypouštěných odpadních vod</w:t>
      </w:r>
      <w:r>
        <w:rPr>
          <w:b/>
          <w:sz w:val="20"/>
        </w:rPr>
        <w:t xml:space="preserve"> do vod povrchových</w:t>
      </w:r>
    </w:p>
    <w:tbl>
      <w:tblPr>
        <w:tblW w:w="714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128"/>
        <w:gridCol w:w="849"/>
        <w:gridCol w:w="984"/>
        <w:gridCol w:w="1023"/>
        <w:gridCol w:w="992"/>
        <w:gridCol w:w="722"/>
        <w:gridCol w:w="887"/>
        <w:gridCol w:w="557"/>
      </w:tblGrid>
      <w:tr w:rsidR="00C979BD" w:rsidRPr="00533F0B" w:rsidTr="00260E94">
        <w:trPr>
          <w:trHeight w:val="315"/>
        </w:trPr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  <w:lang w:eastAsia="cs-CZ"/>
              </w:rPr>
            </w:pPr>
            <w:r w:rsidRPr="0091589F">
              <w:rPr>
                <w:rFonts w:eastAsia="Times New Roman" w:cs="Arial"/>
                <w:b/>
                <w:color w:val="000000"/>
                <w:sz w:val="18"/>
                <w:szCs w:val="20"/>
                <w:lang w:eastAsia="cs-CZ"/>
              </w:rPr>
              <w:t>Parametr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Č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eská republika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Slovensk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á republika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Rumunsko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Maďarsko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Polsko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Bulharsko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</w:tr>
      <w:tr w:rsidR="00C979BD" w:rsidRPr="00533F0B" w:rsidTr="00260E94">
        <w:trPr>
          <w:trHeight w:val="300"/>
        </w:trPr>
        <w:tc>
          <w:tcPr>
            <w:tcW w:w="11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 €/m</w:t>
            </w: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€/m</w:t>
            </w: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 €/m</w:t>
            </w: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€/m</w:t>
            </w: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€/m</w:t>
            </w: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€/m</w:t>
            </w:r>
            <w:r w:rsidRPr="00533F0B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</w:tr>
      <w:tr w:rsidR="00C979BD" w:rsidRPr="00533F0B" w:rsidTr="00260E94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  <w:t>Objem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  <w:t>0,004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  <w:t>0,0018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  <w:r w:rsidRPr="00533F0B"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  <w:t>0,0026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79BD" w:rsidRPr="00533F0B" w:rsidRDefault="00C979BD" w:rsidP="00260E94">
            <w:pPr>
              <w:spacing w:after="0" w:line="240" w:lineRule="auto"/>
              <w:ind w:left="284" w:hanging="284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cs-CZ"/>
              </w:rPr>
            </w:pPr>
          </w:p>
        </w:tc>
      </w:tr>
    </w:tbl>
    <w:p w:rsidR="00C979BD" w:rsidRDefault="00C979BD" w:rsidP="00C979BD">
      <w:pPr>
        <w:pStyle w:val="Odstavecseseznamem"/>
        <w:spacing w:after="0" w:line="240" w:lineRule="auto"/>
        <w:ind w:left="284" w:hanging="284"/>
        <w:jc w:val="both"/>
        <w:rPr>
          <w:b/>
          <w:sz w:val="20"/>
        </w:rPr>
      </w:pPr>
    </w:p>
    <w:p w:rsidR="00C979BD" w:rsidRPr="00ED12A6" w:rsidRDefault="00C979BD" w:rsidP="00C979BD">
      <w:pPr>
        <w:pStyle w:val="Odstavecseseznamem"/>
        <w:spacing w:after="0" w:line="240" w:lineRule="auto"/>
        <w:ind w:left="284"/>
        <w:jc w:val="both"/>
        <w:rPr>
          <w:b/>
          <w:sz w:val="20"/>
        </w:rPr>
      </w:pPr>
      <w:r w:rsidRPr="00ED12A6">
        <w:rPr>
          <w:b/>
          <w:sz w:val="20"/>
        </w:rPr>
        <w:t xml:space="preserve">Zpoplatnění </w:t>
      </w:r>
      <w:r>
        <w:rPr>
          <w:b/>
          <w:sz w:val="20"/>
        </w:rPr>
        <w:t xml:space="preserve">kvality </w:t>
      </w:r>
      <w:r w:rsidRPr="00ED12A6">
        <w:rPr>
          <w:b/>
          <w:sz w:val="20"/>
        </w:rPr>
        <w:t>vypouštěných odpadních vod</w:t>
      </w:r>
      <w:r>
        <w:rPr>
          <w:b/>
          <w:sz w:val="20"/>
        </w:rPr>
        <w:t xml:space="preserve"> do vod povrchových</w:t>
      </w:r>
    </w:p>
    <w:tbl>
      <w:tblPr>
        <w:tblW w:w="6727" w:type="dxa"/>
        <w:tblInd w:w="1140" w:type="dxa"/>
        <w:tblCellMar>
          <w:left w:w="70" w:type="dxa"/>
          <w:right w:w="70" w:type="dxa"/>
        </w:tblCellMar>
        <w:tblLook w:val="04A0"/>
      </w:tblPr>
      <w:tblGrid>
        <w:gridCol w:w="1038"/>
        <w:gridCol w:w="1200"/>
        <w:gridCol w:w="886"/>
        <w:gridCol w:w="933"/>
        <w:gridCol w:w="902"/>
        <w:gridCol w:w="709"/>
        <w:gridCol w:w="887"/>
        <w:gridCol w:w="172"/>
      </w:tblGrid>
      <w:tr w:rsidR="00C979BD" w:rsidRPr="0091589F" w:rsidTr="00260E94">
        <w:trPr>
          <w:trHeight w:val="300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Parametr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Slovenská republika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Rumunsko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Maďarsko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Bulharsko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€/kg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€/kg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€/kg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€/kg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€/kg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€/kg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CHSK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Pcelk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Nanorg</w:t>
            </w:r>
            <w:proofErr w:type="spellEnd"/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/</w:t>
            </w:r>
            <w:proofErr w:type="spellStart"/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BD" w:rsidRPr="0091589F" w:rsidTr="00260E94">
        <w:trPr>
          <w:trHeight w:val="3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158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79BD" w:rsidRPr="0091589F" w:rsidRDefault="00C979BD" w:rsidP="00260E9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C979BD" w:rsidRDefault="00C979BD" w:rsidP="00C979BD">
      <w:pPr>
        <w:pStyle w:val="Odstavecseseznamem"/>
        <w:spacing w:after="0" w:line="240" w:lineRule="auto"/>
        <w:ind w:left="284" w:hanging="284"/>
        <w:jc w:val="both"/>
      </w:pPr>
    </w:p>
    <w:p w:rsidR="00C979BD" w:rsidRDefault="00C979BD" w:rsidP="00C979BD">
      <w:pPr>
        <w:spacing w:after="0" w:line="240" w:lineRule="auto"/>
        <w:jc w:val="both"/>
      </w:pPr>
      <w:r>
        <w:t xml:space="preserve">Při podrobném pohledu na zdroje dusíkatého znečištění je zřejmé, že v řadě lokalit je již minimální podíl bodových zdrojů (ČOV) na celkovém znečištění oproti plošným zdrojům (zejména zemědělství). Například u vodárenské nádrže </w:t>
      </w:r>
      <w:proofErr w:type="spellStart"/>
      <w:r>
        <w:t>Švihov</w:t>
      </w:r>
      <w:proofErr w:type="spellEnd"/>
      <w:r>
        <w:t xml:space="preserve"> tak představují plošné zdroje více jak 80 % z celkového zatížení ukazatelem dusík. Vzhledem k nedosažitelnosti limitů tak nyní dojde k pouhému zvýšení poplatků bez stimulu k zlepšení současného stavu.</w:t>
      </w:r>
    </w:p>
    <w:p w:rsidR="00C979BD" w:rsidRDefault="00C979BD" w:rsidP="00C979BD">
      <w:pPr>
        <w:spacing w:after="0" w:line="240" w:lineRule="auto"/>
        <w:jc w:val="both"/>
      </w:pPr>
      <w:r>
        <w:t xml:space="preserve"> </w:t>
      </w:r>
    </w:p>
    <w:p w:rsidR="00C979BD" w:rsidRDefault="00C979BD" w:rsidP="00C979BD">
      <w:pPr>
        <w:spacing w:after="0" w:line="240" w:lineRule="auto"/>
        <w:jc w:val="both"/>
      </w:pPr>
      <w:r>
        <w:t xml:space="preserve">Nutné je vnímat i to, že celkový objem vyčištěných odpadních vod výrazně ročně kolísá v závislosti na množství a intenzitě srážek, kdy jsou dešťové vody z větší části odkanalizovány a čištěny s vodami odpadními. I proto je velmi těžko akceptovatelné navýšení takto variabilního zpoplatnění, které při vlastním procesu čištění již samo navyšuje provozní náklady, které opět ponese konečný zákazník. Pokud budeme pracovat s 10násobným navýšením poplatku za objem vypouštěných odpadních vod a zvýšením sazeb za vybrané indikátory, tak opět pracujeme s plošným navýšením stočného o 7-15 %. A to není do cen zatím promítnut další deklarovaný záměr Ministerstva životního prostředí zpoplatnit </w:t>
      </w:r>
      <w:r>
        <w:lastRenderedPageBreak/>
        <w:t>i odlehčované dešťové vody, které nejsou dle aktuální podoby zákona č. 254/2001 Sb. řazeny mezi vody odpadní a nejsou tedy zatím zpoplatněny</w:t>
      </w:r>
      <w:r w:rsidR="00DB3EA9">
        <w:t>.</w:t>
      </w:r>
    </w:p>
    <w:p w:rsidR="00C979BD" w:rsidRDefault="00C979BD" w:rsidP="00C979BD">
      <w:pPr>
        <w:pStyle w:val="Odstavecseseznamem"/>
        <w:spacing w:after="0" w:line="240" w:lineRule="auto"/>
        <w:ind w:left="284" w:hanging="284"/>
        <w:jc w:val="both"/>
      </w:pPr>
    </w:p>
    <w:p w:rsidR="00C979BD" w:rsidRDefault="00C979BD" w:rsidP="00C979BD">
      <w:pPr>
        <w:spacing w:after="0" w:line="240" w:lineRule="auto"/>
        <w:jc w:val="both"/>
      </w:pPr>
      <w:r>
        <w:t xml:space="preserve">Z výše uvedeného srovnání je zřetelné, že jakékoliv návrhy pro zvýšení poplatku objemového či koncentračního jsou pouze další snahou o navýšení rozpočtu Státního fondu životního prostředí namísto snahy o dosažení maximální kvality vypouštěných vyčištěných odpadních vod. Zde je více než dostatečnou současná regulace, která je prováděna vodoprávními úřady nastavením přípustných limitů kvality vypouštěných odpadních vod. V rámci EU jsou tyto limity zpřísněné díky zařazení do tzv. „citlivého území“ a dále vnitřní legislativou (níže uváděné nařízení vlády č. 61/2003 Sb.) jsou dále sníženy oproti základní hladině, stanovené Směrnicí 271/91/EHS. </w:t>
      </w:r>
    </w:p>
    <w:p w:rsidR="00C979BD" w:rsidRDefault="00C979BD" w:rsidP="00C979BD">
      <w:pPr>
        <w:pStyle w:val="Odstavecseseznamem"/>
        <w:spacing w:after="0" w:line="240" w:lineRule="auto"/>
        <w:ind w:left="284" w:hanging="284"/>
        <w:jc w:val="both"/>
      </w:pPr>
    </w:p>
    <w:p w:rsidR="00C979BD" w:rsidRDefault="00C979BD" w:rsidP="00C979BD">
      <w:pPr>
        <w:spacing w:after="0" w:line="240" w:lineRule="auto"/>
        <w:jc w:val="both"/>
      </w:pPr>
    </w:p>
    <w:p w:rsidR="00C979BD" w:rsidRPr="000A12AC" w:rsidRDefault="00C979BD" w:rsidP="00C979BD">
      <w:pPr>
        <w:spacing w:after="0" w:line="240" w:lineRule="auto"/>
        <w:jc w:val="both"/>
        <w:rPr>
          <w:i/>
        </w:rPr>
      </w:pPr>
      <w:r w:rsidRPr="000A12AC">
        <w:rPr>
          <w:i/>
        </w:rPr>
        <w:t>Posílení zdrojů Státního fondu životního prostředí jako nevyhnutelnost?</w:t>
      </w:r>
    </w:p>
    <w:p w:rsidR="000E2F2A" w:rsidRDefault="00C979BD" w:rsidP="00DB3EA9">
      <w:pPr>
        <w:spacing w:after="0" w:line="240" w:lineRule="auto"/>
        <w:jc w:val="both"/>
      </w:pPr>
      <w:r>
        <w:t>Při analýze výše uvedených argumentů nacházíme jeden jmenovatel – tím je posílení příjmu Státního fondu životního prostředí. Je ale opravdu nezbytné? Existuje celá řada reálných argumentů, které toto jednoznačně vyvrací. V první řadě zcela zásadní 75 % snížení dostupných prostředků OPŽP v programovém období 2014-2020 v oblasti vodního hospodářství (osa 1.1 a 1.2 – 12 mld. Kč) a tím pádem i menší počet jak žádostí, tak i poskytované spolufinancování. Dalším argumentem je deklarovaný odklon Státního fondu životního prostředí od přímé (dotační) pomoci k poskytování finančních nástrojů – tedy zprostředkování vratných půjček na konkrétní projekty. Ovšem v době, kdy je komerční financování pro města a obce na historických minimech, je minimální reálnost toho, že budou města a obce žádat Státní fond životního prostředí o teoreticky i bezúročné půjčky do výstavby a rekonstrukcí vodohospodářské infrastruktury. Zvláště pokud uvážíme související pavučinu požadavků, pravidel a podmínek pro žadatele, na jejímž konci vždy hrozí to, že žadatel musí dotaci/půjčku při jakémkoliv pochy</w:t>
      </w:r>
      <w:r w:rsidR="00DB3EA9">
        <w:t xml:space="preserve">bení vracet. </w:t>
      </w:r>
    </w:p>
    <w:sectPr w:rsidR="000E2F2A" w:rsidSect="003F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9BD"/>
    <w:rsid w:val="00050934"/>
    <w:rsid w:val="00346BD0"/>
    <w:rsid w:val="003F7267"/>
    <w:rsid w:val="004E1D34"/>
    <w:rsid w:val="00773E52"/>
    <w:rsid w:val="009973C6"/>
    <w:rsid w:val="00A74012"/>
    <w:rsid w:val="00B7103C"/>
    <w:rsid w:val="00C979BD"/>
    <w:rsid w:val="00DB3EA9"/>
    <w:rsid w:val="00ED5668"/>
    <w:rsid w:val="00F5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4130</Characters>
  <Application>Microsoft Office Word</Application>
  <DocSecurity>0</DocSecurity>
  <Lines>34</Lines>
  <Paragraphs>9</Paragraphs>
  <ScaleCrop>false</ScaleCrop>
  <Company>PVK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ondrej.benes</dc:creator>
  <cp:lastModifiedBy>ondrej.benes</cp:lastModifiedBy>
  <cp:revision>2</cp:revision>
  <dcterms:created xsi:type="dcterms:W3CDTF">2015-04-27T07:35:00Z</dcterms:created>
  <dcterms:modified xsi:type="dcterms:W3CDTF">2015-04-27T08:12:00Z</dcterms:modified>
</cp:coreProperties>
</file>